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Over 2,000 bills are introduced in the California Legislature each year. Of these, about half reach the Governor’s desk, and even fewer actually make it into law. Here is our short guide to what happened to bills related to education in 2018. </w:t>
      </w:r>
      <w:r w:rsidR="001A192D">
        <w:rPr>
          <w:rFonts w:ascii="Helvetica" w:hAnsi="Helvetica" w:cs="Helvetica"/>
          <w:sz w:val="28"/>
          <w:szCs w:val="28"/>
        </w:rPr>
        <w:t xml:space="preserve"> Compiled from Ed100.org by Anne Vida for Los Al PTA Council website.</w:t>
      </w:r>
    </w:p>
    <w:tbl>
      <w:tblPr>
        <w:tblW w:w="0" w:type="auto"/>
        <w:tblBorders>
          <w:top w:val="single" w:sz="8" w:space="0" w:color="D5D5D5"/>
          <w:left w:val="single" w:sz="8" w:space="0" w:color="D5D5D5"/>
          <w:right w:val="single" w:sz="8" w:space="0" w:color="D5D5D5"/>
        </w:tblBorders>
        <w:tblLayout w:type="fixed"/>
        <w:tblLook w:val="0000"/>
      </w:tblPr>
      <w:tblGrid>
        <w:gridCol w:w="2020"/>
        <w:gridCol w:w="14220"/>
      </w:tblGrid>
      <w:tr w:rsidR="00C450BE" w:rsidRPr="00C450BE">
        <w:tblPrEx>
          <w:tblCellMar>
            <w:top w:w="0" w:type="dxa"/>
            <w:bottom w:w="0" w:type="dxa"/>
          </w:tblCellMar>
        </w:tblPrEx>
        <w:tc>
          <w:tcPr>
            <w:tcW w:w="16240" w:type="dxa"/>
            <w:gridSpan w:val="2"/>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jc w:val="center"/>
              <w:rPr>
                <w:rFonts w:ascii="Helvetica" w:hAnsi="Helvetica" w:cs="Helvetica"/>
                <w:sz w:val="40"/>
                <w:szCs w:val="28"/>
              </w:rPr>
            </w:pPr>
            <w:r w:rsidRPr="00C450BE">
              <w:rPr>
                <w:rFonts w:ascii="Helvetica" w:hAnsi="Helvetica" w:cs="Helvetica"/>
                <w:sz w:val="40"/>
                <w:szCs w:val="28"/>
              </w:rPr>
              <w:t>Selected Education-related Bills: What happened?</w:t>
            </w:r>
          </w:p>
        </w:tc>
      </w:tr>
      <w:tr w:rsidR="00C450BE" w:rsidRPr="00C450BE">
        <w:tblPrEx>
          <w:tblBorders>
            <w:top w:val="none" w:sz="0" w:space="0" w:color="auto"/>
          </w:tblBorders>
          <w:tblCellMar>
            <w:top w:w="0" w:type="dxa"/>
            <w:bottom w:w="0" w:type="dxa"/>
          </w:tblCellMar>
        </w:tblPrEx>
        <w:tc>
          <w:tcPr>
            <w:tcW w:w="202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Protection for English Learners</w:t>
            </w:r>
          </w:p>
          <w:p w:rsidR="00C450BE" w:rsidRPr="00C450BE" w:rsidRDefault="00C450BE" w:rsidP="00C450BE">
            <w:pPr>
              <w:widowControl w:val="0"/>
              <w:autoSpaceDE w:val="0"/>
              <w:autoSpaceDN w:val="0"/>
              <w:adjustRightInd w:val="0"/>
              <w:rPr>
                <w:rFonts w:ascii="Helvetica" w:hAnsi="Helvetica" w:cs="Helvetica"/>
                <w:sz w:val="28"/>
                <w:szCs w:val="28"/>
              </w:rPr>
            </w:pP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hyperlink r:id="rId4" w:history="1">
              <w:r w:rsidRPr="00C450BE">
                <w:rPr>
                  <w:rFonts w:ascii="Helvetica" w:hAnsi="Helvetica" w:cs="Helvetica"/>
                  <w:color w:val="386EFF"/>
                  <w:sz w:val="28"/>
                  <w:szCs w:val="28"/>
                </w:rPr>
                <w:t>English learners</w:t>
              </w:r>
            </w:hyperlink>
            <w:r w:rsidRPr="00C450BE">
              <w:rPr>
                <w:rFonts w:ascii="Helvetica" w:hAnsi="Helvetica" w:cs="Helvetica"/>
                <w:sz w:val="28"/>
                <w:szCs w:val="28"/>
              </w:rPr>
              <w:t> enrolled in middle or high school can’t be denied enrollment in core courses. </w:t>
            </w:r>
            <w:hyperlink r:id="rId5" w:history="1">
              <w:r w:rsidRPr="00C450BE">
                <w:rPr>
                  <w:rFonts w:ascii="Helvetica" w:hAnsi="Helvetica" w:cs="Helvetica"/>
                  <w:color w:val="386EFF"/>
                  <w:sz w:val="28"/>
                  <w:szCs w:val="28"/>
                </w:rPr>
                <w:t>AB 2735</w:t>
              </w:r>
            </w:hyperlink>
          </w:p>
        </w:tc>
      </w:tr>
      <w:tr w:rsidR="00C450BE" w:rsidRPr="00C450BE">
        <w:tblPrEx>
          <w:tblBorders>
            <w:top w:val="none" w:sz="0" w:space="0" w:color="auto"/>
          </w:tblBorders>
          <w:tblCellMar>
            <w:top w:w="0" w:type="dxa"/>
            <w:bottom w:w="0" w:type="dxa"/>
          </w:tblCellMar>
        </w:tblPrEx>
        <w:tc>
          <w:tcPr>
            <w:tcW w:w="202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Family Engagement Expanded in LCAP</w:t>
            </w:r>
          </w:p>
          <w:p w:rsidR="00C450BE" w:rsidRDefault="00C450BE" w:rsidP="00C450BE">
            <w:pPr>
              <w:widowControl w:val="0"/>
              <w:autoSpaceDE w:val="0"/>
              <w:autoSpaceDN w:val="0"/>
              <w:adjustRightInd w:val="0"/>
              <w:rPr>
                <w:rFonts w:ascii="Helvetica" w:hAnsi="Helvetica" w:cs="Helvetica"/>
                <w:sz w:val="28"/>
                <w:szCs w:val="28"/>
              </w:rPr>
            </w:pPr>
          </w:p>
          <w:p w:rsidR="00C450BE" w:rsidRPr="00C450BE" w:rsidRDefault="00C450BE" w:rsidP="00C450BE">
            <w:pPr>
              <w:widowControl w:val="0"/>
              <w:autoSpaceDE w:val="0"/>
              <w:autoSpaceDN w:val="0"/>
              <w:adjustRightInd w:val="0"/>
              <w:rPr>
                <w:rFonts w:ascii="Helvetica" w:hAnsi="Helvetica" w:cs="Helvetica"/>
                <w:sz w:val="28"/>
                <w:szCs w:val="28"/>
              </w:rPr>
            </w:pP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Sponsored by our friends at the California State PTA, </w:t>
            </w:r>
            <w:hyperlink r:id="rId6" w:history="1">
              <w:r w:rsidRPr="00C450BE">
                <w:rPr>
                  <w:rFonts w:ascii="Helvetica" w:hAnsi="Helvetica" w:cs="Helvetica"/>
                  <w:color w:val="386EFF"/>
                  <w:sz w:val="28"/>
                  <w:szCs w:val="28"/>
                </w:rPr>
                <w:t>AB 2878</w:t>
              </w:r>
            </w:hyperlink>
            <w:r>
              <w:rPr>
                <w:rFonts w:ascii="Helvetica" w:hAnsi="Helvetica" w:cs="Helvetica"/>
                <w:sz w:val="28"/>
                <w:szCs w:val="28"/>
              </w:rPr>
              <w:t xml:space="preserve"> </w:t>
            </w:r>
            <w:r w:rsidRPr="00C450BE">
              <w:rPr>
                <w:rFonts w:ascii="Helvetica" w:hAnsi="Helvetica" w:cs="Helvetica"/>
                <w:sz w:val="28"/>
                <w:szCs w:val="28"/>
              </w:rPr>
              <w:t>adds research-based Family Engagement practices that local districts can use in their LCAP. This includes, for example, engaging in effective two-way communication, supporting pupil success, and empowering families to advocate for equity and access.</w:t>
            </w:r>
          </w:p>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[Learn more about </w:t>
            </w:r>
            <w:hyperlink r:id="rId7" w:history="1">
              <w:r w:rsidRPr="00C450BE">
                <w:rPr>
                  <w:rFonts w:ascii="Helvetica" w:hAnsi="Helvetica" w:cs="Helvetica"/>
                  <w:color w:val="386EFF"/>
                  <w:sz w:val="28"/>
                  <w:szCs w:val="28"/>
                </w:rPr>
                <w:t>Family Engagement</w:t>
              </w:r>
            </w:hyperlink>
            <w:r w:rsidRPr="00C450BE">
              <w:rPr>
                <w:rFonts w:ascii="Helvetica" w:hAnsi="Helvetica" w:cs="Helvetica"/>
                <w:sz w:val="28"/>
                <w:szCs w:val="28"/>
              </w:rPr>
              <w:t> and the </w:t>
            </w:r>
            <w:hyperlink r:id="rId8" w:history="1">
              <w:r w:rsidRPr="00C450BE">
                <w:rPr>
                  <w:rFonts w:ascii="Helvetica" w:hAnsi="Helvetica" w:cs="Helvetica"/>
                  <w:color w:val="386EFF"/>
                  <w:sz w:val="28"/>
                  <w:szCs w:val="28"/>
                </w:rPr>
                <w:t>LCAP</w:t>
              </w:r>
            </w:hyperlink>
            <w:r w:rsidRPr="00C450BE">
              <w:rPr>
                <w:rFonts w:ascii="Helvetica" w:hAnsi="Helvetica" w:cs="Helvetica"/>
                <w:sz w:val="28"/>
                <w:szCs w:val="28"/>
              </w:rPr>
              <w:t xml:space="preserve"> on </w:t>
            </w:r>
            <w:hyperlink r:id="rId9" w:history="1">
              <w:r w:rsidRPr="00C450BE">
                <w:rPr>
                  <w:rFonts w:ascii="Helvetica" w:hAnsi="Helvetica" w:cs="Helvetica"/>
                  <w:color w:val="386EFF"/>
                  <w:sz w:val="28"/>
                  <w:szCs w:val="28"/>
                  <w:u w:val="single" w:color="386EFF"/>
                </w:rPr>
                <w:t>Ed100.org</w:t>
              </w:r>
            </w:hyperlink>
            <w:r w:rsidRPr="00C450BE">
              <w:rPr>
                <w:rFonts w:ascii="Helvetica" w:hAnsi="Helvetica" w:cs="Helvetica"/>
                <w:sz w:val="28"/>
                <w:szCs w:val="28"/>
              </w:rPr>
              <w:t>]</w:t>
            </w:r>
          </w:p>
        </w:tc>
      </w:tr>
      <w:tr w:rsidR="00C450BE" w:rsidRPr="00C450BE">
        <w:tblPrEx>
          <w:tblBorders>
            <w:top w:val="none" w:sz="0" w:space="0" w:color="auto"/>
          </w:tblBorders>
          <w:tblCellMar>
            <w:top w:w="0" w:type="dxa"/>
            <w:bottom w:w="0" w:type="dxa"/>
          </w:tblCellMar>
        </w:tblPrEx>
        <w:tc>
          <w:tcPr>
            <w:tcW w:w="202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Goodbye, For-Profit Charter Schools</w:t>
            </w:r>
          </w:p>
          <w:p w:rsidR="00C450BE" w:rsidRPr="00C450BE" w:rsidRDefault="00C450BE" w:rsidP="00C450BE">
            <w:pPr>
              <w:widowControl w:val="0"/>
              <w:autoSpaceDE w:val="0"/>
              <w:autoSpaceDN w:val="0"/>
              <w:adjustRightInd w:val="0"/>
              <w:rPr>
                <w:rFonts w:ascii="Helvetica" w:hAnsi="Helvetica" w:cs="Helvetica"/>
                <w:sz w:val="28"/>
                <w:szCs w:val="28"/>
              </w:rPr>
            </w:pP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The governor and the legislature said, “So Long For-Profit Charter Schools” with </w:t>
            </w:r>
            <w:hyperlink r:id="rId10" w:history="1">
              <w:r w:rsidRPr="00C450BE">
                <w:rPr>
                  <w:rFonts w:ascii="Helvetica" w:hAnsi="Helvetica" w:cs="Helvetica"/>
                  <w:color w:val="386EFF"/>
                  <w:sz w:val="28"/>
                  <w:szCs w:val="28"/>
                </w:rPr>
                <w:t>AB 406</w:t>
              </w:r>
            </w:hyperlink>
            <w:r w:rsidRPr="00C450BE">
              <w:rPr>
                <w:rFonts w:ascii="Helvetica" w:hAnsi="Helvetica" w:cs="Helvetica"/>
                <w:sz w:val="28"/>
                <w:szCs w:val="28"/>
              </w:rPr>
              <w:t>, which bans </w:t>
            </w:r>
            <w:hyperlink r:id="rId11" w:history="1">
              <w:r w:rsidRPr="00C450BE">
                <w:rPr>
                  <w:rFonts w:ascii="Helvetica" w:hAnsi="Helvetica" w:cs="Helvetica"/>
                  <w:color w:val="386EFF"/>
                  <w:sz w:val="28"/>
                  <w:szCs w:val="28"/>
                </w:rPr>
                <w:t>charter schools</w:t>
              </w:r>
            </w:hyperlink>
            <w:r w:rsidRPr="00C450BE">
              <w:rPr>
                <w:rFonts w:ascii="Helvetica" w:hAnsi="Helvetica" w:cs="Helvetica"/>
                <w:sz w:val="28"/>
                <w:szCs w:val="28"/>
              </w:rPr>
              <w:t> from being managed </w:t>
            </w:r>
            <w:r w:rsidRPr="00C450BE">
              <w:rPr>
                <w:rFonts w:ascii="Helvetica" w:hAnsi="Helvetica" w:cs="Helvetica"/>
                <w:i/>
                <w:iCs/>
                <w:sz w:val="28"/>
                <w:szCs w:val="28"/>
              </w:rPr>
              <w:t>as</w:t>
            </w:r>
            <w:r w:rsidRPr="00C450BE">
              <w:rPr>
                <w:rFonts w:ascii="Helvetica" w:hAnsi="Helvetica" w:cs="Helvetica"/>
                <w:sz w:val="28"/>
                <w:szCs w:val="28"/>
              </w:rPr>
              <w:t> for-profit companies or </w:t>
            </w:r>
            <w:r w:rsidRPr="00C450BE">
              <w:rPr>
                <w:rFonts w:ascii="Helvetica" w:hAnsi="Helvetica" w:cs="Helvetica"/>
                <w:i/>
                <w:iCs/>
                <w:sz w:val="28"/>
                <w:szCs w:val="28"/>
              </w:rPr>
              <w:t>by</w:t>
            </w:r>
            <w:r w:rsidRPr="00C450BE">
              <w:rPr>
                <w:rFonts w:ascii="Helvetica" w:hAnsi="Helvetica" w:cs="Helvetica"/>
                <w:sz w:val="28"/>
                <w:szCs w:val="28"/>
              </w:rPr>
              <w:t> for-profit companies.</w:t>
            </w:r>
          </w:p>
        </w:tc>
      </w:tr>
      <w:tr w:rsidR="00C450BE" w:rsidRPr="00C450BE">
        <w:tblPrEx>
          <w:tblBorders>
            <w:top w:val="none" w:sz="0" w:space="0" w:color="auto"/>
          </w:tblBorders>
          <w:tblCellMar>
            <w:top w:w="0" w:type="dxa"/>
            <w:bottom w:w="0" w:type="dxa"/>
          </w:tblCellMar>
        </w:tblPrEx>
        <w:tc>
          <w:tcPr>
            <w:tcW w:w="202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Support for Dual Language Immersion</w:t>
            </w:r>
          </w:p>
          <w:p w:rsidR="00C450BE" w:rsidRPr="00C450BE" w:rsidRDefault="00C450BE" w:rsidP="00C450BE">
            <w:pPr>
              <w:widowControl w:val="0"/>
              <w:autoSpaceDE w:val="0"/>
              <w:autoSpaceDN w:val="0"/>
              <w:adjustRightInd w:val="0"/>
              <w:rPr>
                <w:rFonts w:ascii="Helvetica" w:hAnsi="Helvetica" w:cs="Helvetica"/>
                <w:sz w:val="28"/>
                <w:szCs w:val="28"/>
              </w:rPr>
            </w:pP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proofErr w:type="spellStart"/>
            <w:r w:rsidRPr="00C450BE">
              <w:rPr>
                <w:rFonts w:ascii="Helvetica" w:hAnsi="Helvetica" w:cs="Helvetica"/>
                <w:sz w:val="28"/>
                <w:szCs w:val="28"/>
              </w:rPr>
              <w:t>Biliteracy</w:t>
            </w:r>
            <w:proofErr w:type="spellEnd"/>
            <w:r w:rsidRPr="00C450BE">
              <w:rPr>
                <w:rFonts w:ascii="Helvetica" w:hAnsi="Helvetica" w:cs="Helvetica"/>
                <w:sz w:val="28"/>
                <w:szCs w:val="28"/>
              </w:rPr>
              <w:t xml:space="preserve"> got a small boost with </w:t>
            </w:r>
            <w:hyperlink r:id="rId12" w:history="1">
              <w:r w:rsidRPr="00C450BE">
                <w:rPr>
                  <w:rFonts w:ascii="Helvetica" w:hAnsi="Helvetica" w:cs="Helvetica"/>
                  <w:color w:val="386EFF"/>
                  <w:sz w:val="28"/>
                  <w:szCs w:val="28"/>
                </w:rPr>
                <w:t>AB 2514</w:t>
              </w:r>
            </w:hyperlink>
            <w:r w:rsidRPr="00C450BE">
              <w:rPr>
                <w:rFonts w:ascii="Helvetica" w:hAnsi="Helvetica" w:cs="Helvetica"/>
                <w:sz w:val="28"/>
                <w:szCs w:val="28"/>
              </w:rPr>
              <w:t>, which creates a grant program for ten schools to establish and expand </w:t>
            </w:r>
            <w:hyperlink r:id="rId13" w:history="1">
              <w:r w:rsidRPr="00C450BE">
                <w:rPr>
                  <w:rFonts w:ascii="Helvetica" w:hAnsi="Helvetica" w:cs="Helvetica"/>
                  <w:color w:val="386EFF"/>
                  <w:sz w:val="28"/>
                  <w:szCs w:val="28"/>
                </w:rPr>
                <w:t>dual language immersion</w:t>
              </w:r>
            </w:hyperlink>
            <w:r w:rsidRPr="00C450BE">
              <w:rPr>
                <w:rFonts w:ascii="Helvetica" w:hAnsi="Helvetica" w:cs="Helvetica"/>
                <w:sz w:val="28"/>
                <w:szCs w:val="28"/>
              </w:rPr>
              <w:t> programs, developmental bilingual programs, and early learning dual language learners programs.</w:t>
            </w:r>
          </w:p>
        </w:tc>
      </w:tr>
      <w:tr w:rsidR="00C450BE" w:rsidRPr="00C450BE">
        <w:tblPrEx>
          <w:tblBorders>
            <w:top w:val="none" w:sz="0" w:space="0" w:color="auto"/>
          </w:tblBorders>
          <w:tblCellMar>
            <w:top w:w="0" w:type="dxa"/>
            <w:bottom w:w="0" w:type="dxa"/>
          </w:tblCellMar>
        </w:tblPrEx>
        <w:tc>
          <w:tcPr>
            <w:tcW w:w="202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Kids and School Debts</w:t>
            </w:r>
          </w:p>
          <w:p w:rsidR="00C450BE" w:rsidRDefault="00C450BE" w:rsidP="00C450BE">
            <w:pPr>
              <w:widowControl w:val="0"/>
              <w:autoSpaceDE w:val="0"/>
              <w:autoSpaceDN w:val="0"/>
              <w:adjustRightInd w:val="0"/>
              <w:rPr>
                <w:rFonts w:ascii="Helvetica" w:hAnsi="Helvetica" w:cs="Helvetica"/>
                <w:sz w:val="28"/>
                <w:szCs w:val="28"/>
              </w:rPr>
            </w:pPr>
          </w:p>
          <w:p w:rsidR="00C450BE" w:rsidRDefault="00C450BE" w:rsidP="00C450BE">
            <w:pPr>
              <w:widowControl w:val="0"/>
              <w:autoSpaceDE w:val="0"/>
              <w:autoSpaceDN w:val="0"/>
              <w:adjustRightInd w:val="0"/>
              <w:rPr>
                <w:rFonts w:ascii="Helvetica" w:hAnsi="Helvetica" w:cs="Helvetica"/>
                <w:sz w:val="28"/>
                <w:szCs w:val="28"/>
              </w:rPr>
            </w:pPr>
          </w:p>
          <w:p w:rsidR="00C450BE" w:rsidRDefault="00C450BE" w:rsidP="00C450BE">
            <w:pPr>
              <w:widowControl w:val="0"/>
              <w:autoSpaceDE w:val="0"/>
              <w:autoSpaceDN w:val="0"/>
              <w:adjustRightInd w:val="0"/>
              <w:rPr>
                <w:rFonts w:ascii="Helvetica" w:hAnsi="Helvetica" w:cs="Helvetica"/>
                <w:sz w:val="28"/>
                <w:szCs w:val="28"/>
              </w:rPr>
            </w:pPr>
          </w:p>
          <w:p w:rsidR="00C450BE" w:rsidRPr="00C450BE" w:rsidRDefault="00C450BE" w:rsidP="00C450BE">
            <w:pPr>
              <w:widowControl w:val="0"/>
              <w:autoSpaceDE w:val="0"/>
              <w:autoSpaceDN w:val="0"/>
              <w:adjustRightInd w:val="0"/>
              <w:rPr>
                <w:rFonts w:ascii="Helvetica" w:hAnsi="Helvetica" w:cs="Helvetica"/>
                <w:sz w:val="28"/>
                <w:szCs w:val="28"/>
              </w:rPr>
            </w:pP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Public schools now may not bill a student or former student for a debt owed to the school. They also can’t take action against that student, for example, by denying a transcript or limiting participation in school activities. This does not prohibit schools from collecting a debt from parents (though use of a debt collector is also prohibited.) </w:t>
            </w:r>
            <w:hyperlink r:id="rId14" w:history="1">
              <w:r w:rsidRPr="00C450BE">
                <w:rPr>
                  <w:rFonts w:ascii="Helvetica" w:hAnsi="Helvetica" w:cs="Helvetica"/>
                  <w:color w:val="386EFF"/>
                  <w:sz w:val="28"/>
                  <w:szCs w:val="28"/>
                </w:rPr>
                <w:t>AB 1974</w:t>
              </w:r>
            </w:hyperlink>
          </w:p>
        </w:tc>
      </w:tr>
      <w:tr w:rsidR="00C450BE" w:rsidRPr="00C450BE">
        <w:tblPrEx>
          <w:tblBorders>
            <w:top w:val="none" w:sz="0" w:space="0" w:color="auto"/>
            <w:bottom w:val="single" w:sz="8" w:space="0" w:color="D5D5D5"/>
          </w:tblBorders>
          <w:tblCellMar>
            <w:top w:w="0" w:type="dxa"/>
            <w:bottom w:w="0" w:type="dxa"/>
          </w:tblCellMar>
        </w:tblPrEx>
        <w:tc>
          <w:tcPr>
            <w:tcW w:w="20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Deported Students and High School Diplomas</w:t>
            </w:r>
          </w:p>
        </w:tc>
        <w:tc>
          <w:tcPr>
            <w:tcW w:w="1422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High schools may retroactively grant a diploma to students whose education was disrupted by deportation, but who were on track to graduate. </w:t>
            </w:r>
            <w:hyperlink r:id="rId15" w:history="1">
              <w:r w:rsidRPr="00C450BE">
                <w:rPr>
                  <w:rFonts w:ascii="Helvetica" w:hAnsi="Helvetica" w:cs="Helvetica"/>
                  <w:color w:val="386EFF"/>
                  <w:sz w:val="28"/>
                  <w:szCs w:val="28"/>
                </w:rPr>
                <w:t>AB 3022</w:t>
              </w:r>
            </w:hyperlink>
          </w:p>
        </w:tc>
      </w:tr>
    </w:tbl>
    <w:p w:rsidR="00C450BE" w:rsidRDefault="00C450BE" w:rsidP="00C450BE">
      <w:pPr>
        <w:widowControl w:val="0"/>
        <w:autoSpaceDE w:val="0"/>
        <w:autoSpaceDN w:val="0"/>
        <w:adjustRightInd w:val="0"/>
        <w:rPr>
          <w:rFonts w:ascii="Helvetica" w:hAnsi="Helvetica" w:cs="Helvetica"/>
          <w:b/>
          <w:bCs/>
          <w:sz w:val="46"/>
          <w:szCs w:val="46"/>
        </w:rPr>
      </w:pPr>
    </w:p>
    <w:p w:rsidR="00C450BE" w:rsidRPr="00C450BE" w:rsidRDefault="00C450BE" w:rsidP="001A192D">
      <w:pPr>
        <w:widowControl w:val="0"/>
        <w:autoSpaceDE w:val="0"/>
        <w:autoSpaceDN w:val="0"/>
        <w:adjustRightInd w:val="0"/>
        <w:jc w:val="center"/>
        <w:rPr>
          <w:rFonts w:ascii="Helvetica" w:hAnsi="Helvetica" w:cs="Helvetica"/>
          <w:b/>
          <w:bCs/>
          <w:sz w:val="40"/>
          <w:szCs w:val="32"/>
        </w:rPr>
      </w:pPr>
      <w:r w:rsidRPr="00C450BE">
        <w:rPr>
          <w:rFonts w:ascii="Helvetica" w:hAnsi="Helvetica" w:cs="Helvetica"/>
          <w:b/>
          <w:bCs/>
          <w:sz w:val="40"/>
          <w:szCs w:val="46"/>
        </w:rPr>
        <w:t>Student Health and Safety</w:t>
      </w:r>
    </w:p>
    <w:p w:rsidR="00C450BE" w:rsidRPr="00C450BE" w:rsidRDefault="00C450BE" w:rsidP="00C450BE">
      <w:pPr>
        <w:widowControl w:val="0"/>
        <w:autoSpaceDE w:val="0"/>
        <w:autoSpaceDN w:val="0"/>
        <w:adjustRightInd w:val="0"/>
        <w:rPr>
          <w:rFonts w:ascii="Helvetica" w:hAnsi="Helvetica" w:cs="Helvetica"/>
          <w:sz w:val="28"/>
          <w:szCs w:val="28"/>
        </w:rPr>
      </w:pPr>
      <w:r w:rsidRPr="00C450BE">
        <w:rPr>
          <w:rFonts w:ascii="Helvetica" w:hAnsi="Helvetica" w:cs="Helvetica"/>
          <w:sz w:val="28"/>
          <w:szCs w:val="28"/>
        </w:rPr>
        <w:t>This was a big year for bills to protect </w:t>
      </w:r>
      <w:hyperlink r:id="rId16" w:history="1">
        <w:r w:rsidRPr="00C450BE">
          <w:rPr>
            <w:rFonts w:ascii="Helvetica" w:hAnsi="Helvetica" w:cs="Helvetica"/>
            <w:color w:val="386EFF"/>
            <w:sz w:val="28"/>
            <w:szCs w:val="28"/>
          </w:rPr>
          <w:t>student health and safety</w:t>
        </w:r>
      </w:hyperlink>
      <w:r w:rsidRPr="00C450BE">
        <w:rPr>
          <w:rFonts w:ascii="Helvetica" w:hAnsi="Helvetica" w:cs="Helvetica"/>
          <w:sz w:val="28"/>
          <w:szCs w:val="28"/>
        </w:rPr>
        <w:t xml:space="preserve"> as scary headlines about shootings, suicide, </w:t>
      </w:r>
      <w:proofErr w:type="gramStart"/>
      <w:r w:rsidRPr="00C450BE">
        <w:rPr>
          <w:rFonts w:ascii="Helvetica" w:hAnsi="Helvetica" w:cs="Helvetica"/>
          <w:sz w:val="28"/>
          <w:szCs w:val="28"/>
        </w:rPr>
        <w:t>human</w:t>
      </w:r>
      <w:proofErr w:type="gramEnd"/>
      <w:r w:rsidRPr="00C450BE">
        <w:rPr>
          <w:rFonts w:ascii="Helvetica" w:hAnsi="Helvetica" w:cs="Helvetica"/>
          <w:sz w:val="28"/>
          <w:szCs w:val="28"/>
        </w:rPr>
        <w:t xml:space="preserve"> trafficking and lead in the water dominated the news cycles.</w:t>
      </w:r>
    </w:p>
    <w:tbl>
      <w:tblPr>
        <w:tblW w:w="0" w:type="auto"/>
        <w:tblBorders>
          <w:top w:val="single" w:sz="8" w:space="0" w:color="D5D5D5"/>
          <w:left w:val="single" w:sz="8" w:space="0" w:color="D5D5D5"/>
          <w:right w:val="single" w:sz="8" w:space="0" w:color="D5D5D5"/>
        </w:tblBorders>
        <w:tblLayout w:type="fixed"/>
        <w:tblLook w:val="0000"/>
      </w:tblPr>
      <w:tblGrid>
        <w:gridCol w:w="2940"/>
        <w:gridCol w:w="13300"/>
      </w:tblGrid>
      <w:tr w:rsidR="00C450BE" w:rsidRPr="00C450BE">
        <w:tblPrEx>
          <w:tblCellMar>
            <w:top w:w="0" w:type="dxa"/>
            <w:bottom w:w="0" w:type="dxa"/>
          </w:tblCellMar>
        </w:tblPrEx>
        <w:tc>
          <w:tcPr>
            <w:tcW w:w="16240" w:type="dxa"/>
            <w:gridSpan w:val="2"/>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jc w:val="center"/>
              <w:rPr>
                <w:rFonts w:ascii="Georgia" w:hAnsi="Georgia" w:cs="Georgia"/>
                <w:color w:val="262626"/>
                <w:sz w:val="32"/>
                <w:szCs w:val="32"/>
              </w:rPr>
            </w:pPr>
            <w:r>
              <w:rPr>
                <w:rFonts w:ascii="Times" w:hAnsi="Times" w:cs="Times"/>
                <w:color w:val="262626"/>
                <w:sz w:val="40"/>
                <w:szCs w:val="46"/>
              </w:rPr>
              <w:t>Bills Related to Student Health and Safety</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Suicide Prevention</w:t>
            </w:r>
          </w:p>
          <w:p w:rsidR="00C450BE" w:rsidRDefault="00C450BE" w:rsidP="00C450BE">
            <w:pPr>
              <w:widowControl w:val="0"/>
              <w:autoSpaceDE w:val="0"/>
              <w:autoSpaceDN w:val="0"/>
              <w:adjustRightInd w:val="0"/>
              <w:rPr>
                <w:rFonts w:ascii="Times" w:hAnsi="Times" w:cs="Times"/>
                <w:color w:val="262626"/>
                <w:sz w:val="46"/>
                <w:szCs w:val="46"/>
              </w:rPr>
            </w:pPr>
          </w:p>
          <w:p w:rsidR="00C450BE" w:rsidRDefault="00C450BE" w:rsidP="00C450BE">
            <w:pPr>
              <w:widowControl w:val="0"/>
              <w:autoSpaceDE w:val="0"/>
              <w:autoSpaceDN w:val="0"/>
              <w:adjustRightInd w:val="0"/>
              <w:rPr>
                <w:rFonts w:ascii="Times" w:hAnsi="Times" w:cs="Times"/>
                <w:color w:val="262626"/>
                <w:sz w:val="46"/>
                <w:szCs w:val="46"/>
              </w:rPr>
            </w:pPr>
          </w:p>
          <w:p w:rsidR="00C450BE" w:rsidRPr="00C450BE" w:rsidRDefault="00C450BE" w:rsidP="00C450BE">
            <w:pPr>
              <w:widowControl w:val="0"/>
              <w:autoSpaceDE w:val="0"/>
              <w:autoSpaceDN w:val="0"/>
              <w:adjustRightInd w:val="0"/>
              <w:rPr>
                <w:rFonts w:ascii="Georgia" w:hAnsi="Georgia" w:cs="Georgia"/>
                <w:color w:val="262626"/>
                <w:sz w:val="32"/>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Middle and high schools must print suicide prevention hotline numbers and text crisis hotlines on the back of student identification cards per </w:t>
            </w:r>
            <w:hyperlink r:id="rId17" w:history="1">
              <w:r w:rsidRPr="00C450BE">
                <w:rPr>
                  <w:rFonts w:ascii="Times" w:hAnsi="Times" w:cs="Times"/>
                  <w:color w:val="386EFF"/>
                  <w:sz w:val="28"/>
                  <w:szCs w:val="46"/>
                </w:rPr>
                <w:t>SB 972</w:t>
              </w:r>
            </w:hyperlink>
            <w:r w:rsidRPr="00C450BE">
              <w:rPr>
                <w:rFonts w:ascii="Times" w:hAnsi="Times" w:cs="Times"/>
                <w:color w:val="262626"/>
                <w:sz w:val="28"/>
                <w:szCs w:val="46"/>
              </w:rPr>
              <w:t>. </w:t>
            </w:r>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Schools must review their suicide prevention policies at least every five years and update them as needed. </w:t>
            </w:r>
            <w:hyperlink r:id="rId18" w:history="1">
              <w:r w:rsidRPr="00C450BE">
                <w:rPr>
                  <w:rFonts w:ascii="Times" w:hAnsi="Times" w:cs="Times"/>
                  <w:color w:val="386EFF"/>
                  <w:sz w:val="28"/>
                  <w:szCs w:val="46"/>
                </w:rPr>
                <w:t>AB 2639</w:t>
              </w:r>
            </w:hyperlink>
          </w:p>
          <w:p w:rsidR="00C450BE" w:rsidRPr="00C450BE" w:rsidRDefault="00C450BE" w:rsidP="00C450BE">
            <w:pPr>
              <w:widowControl w:val="0"/>
              <w:autoSpaceDE w:val="0"/>
              <w:autoSpaceDN w:val="0"/>
              <w:adjustRightInd w:val="0"/>
              <w:rPr>
                <w:rFonts w:ascii="Georgia" w:hAnsi="Georgia" w:cs="Georgia"/>
                <w:color w:val="262626"/>
                <w:sz w:val="32"/>
                <w:szCs w:val="32"/>
              </w:rPr>
            </w:pPr>
            <w:r w:rsidRPr="00C450BE">
              <w:rPr>
                <w:rFonts w:ascii="Times" w:hAnsi="Times" w:cs="Times"/>
                <w:color w:val="262626"/>
                <w:sz w:val="28"/>
                <w:szCs w:val="46"/>
              </w:rPr>
              <w:t>[Learn more about </w:t>
            </w:r>
            <w:hyperlink r:id="rId19" w:history="1">
              <w:r w:rsidRPr="00C450BE">
                <w:rPr>
                  <w:rFonts w:ascii="Times" w:hAnsi="Times" w:cs="Times"/>
                  <w:color w:val="386EFF"/>
                  <w:sz w:val="28"/>
                  <w:szCs w:val="46"/>
                </w:rPr>
                <w:t>suicide prevention</w:t>
              </w:r>
            </w:hyperlink>
            <w:r w:rsidRPr="00C450BE">
              <w:rPr>
                <w:rFonts w:ascii="Times" w:hAnsi="Times" w:cs="Times"/>
                <w:color w:val="262626"/>
                <w:sz w:val="28"/>
                <w:szCs w:val="46"/>
              </w:rPr>
              <w:t xml:space="preserve"> on </w:t>
            </w:r>
            <w:hyperlink r:id="rId20" w:history="1">
              <w:r w:rsidRPr="00C450BE">
                <w:rPr>
                  <w:rFonts w:ascii="Times" w:hAnsi="Times" w:cs="Times"/>
                  <w:color w:val="386EFF"/>
                  <w:sz w:val="28"/>
                  <w:szCs w:val="46"/>
                  <w:u w:val="single" w:color="386EFF"/>
                </w:rPr>
                <w:t>Ed100.org</w:t>
              </w:r>
            </w:hyperlink>
            <w:r w:rsidRPr="00C450BE">
              <w:rPr>
                <w:rFonts w:ascii="Times" w:hAnsi="Times" w:cs="Times"/>
                <w:color w:val="262626"/>
                <w:sz w:val="28"/>
                <w:szCs w:val="46"/>
              </w:rPr>
              <w:t>]</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Human Trafficking</w:t>
            </w:r>
          </w:p>
          <w:p w:rsidR="00C450BE" w:rsidRP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 districts must ensure that all pupils in grades seven to 12 receive information on how social media and mobile device applications are used for human trafficking. </w:t>
            </w:r>
            <w:hyperlink r:id="rId21" w:history="1">
              <w:r w:rsidRPr="00C450BE">
                <w:rPr>
                  <w:rFonts w:ascii="Times" w:hAnsi="Times" w:cs="Times"/>
                  <w:color w:val="386EFF"/>
                  <w:sz w:val="28"/>
                  <w:szCs w:val="46"/>
                </w:rPr>
                <w:t>AB 186</w:t>
              </w:r>
            </w:hyperlink>
            <w:r w:rsidRPr="00C450BE">
              <w:rPr>
                <w:rFonts w:ascii="Times" w:hAnsi="Times" w:cs="Times"/>
                <w:color w:val="262626"/>
                <w:sz w:val="28"/>
                <w:szCs w:val="46"/>
              </w:rPr>
              <w:t>. </w:t>
            </w:r>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 districts and charter schools must work with their schools serving students in grades 6-12 to identify methods of informing parents of human trafficking prevention resources. </w:t>
            </w:r>
            <w:hyperlink r:id="rId22" w:history="1">
              <w:r w:rsidRPr="00C450BE">
                <w:rPr>
                  <w:rFonts w:ascii="Times" w:hAnsi="Times" w:cs="Times"/>
                  <w:color w:val="386EFF"/>
                  <w:sz w:val="28"/>
                  <w:szCs w:val="46"/>
                </w:rPr>
                <w:t>SB 1104</w:t>
              </w:r>
            </w:hyperlink>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Pupil Restraints</w:t>
            </w:r>
          </w:p>
          <w:p w:rsidR="00C450BE" w:rsidRP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Georgia" w:hAnsi="Georgia" w:cs="Georgia"/>
                <w:color w:val="262626"/>
                <w:sz w:val="28"/>
                <w:szCs w:val="32"/>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Schools now have new limits on the use of behavioral restraints and student seclusion. </w:t>
            </w:r>
            <w:hyperlink r:id="rId23" w:history="1">
              <w:r w:rsidRPr="00C450BE">
                <w:rPr>
                  <w:rFonts w:ascii="Times" w:hAnsi="Times" w:cs="Times"/>
                  <w:color w:val="386EFF"/>
                  <w:sz w:val="28"/>
                  <w:szCs w:val="46"/>
                </w:rPr>
                <w:t>AB 2657</w:t>
              </w:r>
            </w:hyperlink>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[Learn more about </w:t>
            </w:r>
            <w:hyperlink r:id="rId24" w:history="1">
              <w:r w:rsidRPr="00C450BE">
                <w:rPr>
                  <w:rFonts w:ascii="Times" w:hAnsi="Times" w:cs="Times"/>
                  <w:color w:val="386EFF"/>
                  <w:sz w:val="28"/>
                  <w:szCs w:val="46"/>
                </w:rPr>
                <w:t>discipline</w:t>
              </w:r>
            </w:hyperlink>
            <w:r w:rsidRPr="00C450BE">
              <w:rPr>
                <w:rFonts w:ascii="Times" w:hAnsi="Times" w:cs="Times"/>
                <w:color w:val="262626"/>
                <w:sz w:val="28"/>
                <w:szCs w:val="46"/>
              </w:rPr>
              <w:t xml:space="preserve"> on </w:t>
            </w:r>
            <w:hyperlink r:id="rId25" w:history="1">
              <w:r w:rsidRPr="00C450BE">
                <w:rPr>
                  <w:rFonts w:ascii="Times" w:hAnsi="Times" w:cs="Times"/>
                  <w:color w:val="386EFF"/>
                  <w:sz w:val="28"/>
                  <w:szCs w:val="46"/>
                  <w:u w:val="single" w:color="386EFF"/>
                </w:rPr>
                <w:t>Ed100.org</w:t>
              </w:r>
            </w:hyperlink>
            <w:r w:rsidRPr="00C450BE">
              <w:rPr>
                <w:rFonts w:ascii="Times" w:hAnsi="Times" w:cs="Times"/>
                <w:color w:val="262626"/>
                <w:sz w:val="28"/>
                <w:szCs w:val="46"/>
              </w:rPr>
              <w:t>]</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Food in Schools</w:t>
            </w: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Schools in the federal School Breakfast program can get more funding to provide more students with a universal school breakfast. </w:t>
            </w:r>
            <w:hyperlink r:id="rId26" w:history="1">
              <w:r w:rsidRPr="00C450BE">
                <w:rPr>
                  <w:rFonts w:ascii="Times" w:hAnsi="Times" w:cs="Times"/>
                  <w:color w:val="386EFF"/>
                  <w:sz w:val="28"/>
                  <w:szCs w:val="46"/>
                </w:rPr>
                <w:t>AB 304</w:t>
              </w:r>
            </w:hyperlink>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 xml:space="preserve">A bill to require a charter school to provide each needy pupil with one nutritionally adequate free or reduced-price meal during each school day was signed by the Governor. (The second time’s a charm on this one. </w:t>
            </w:r>
            <w:proofErr w:type="gramStart"/>
            <w:r w:rsidRPr="00C450BE">
              <w:rPr>
                <w:rFonts w:ascii="Times" w:hAnsi="Times" w:cs="Times"/>
                <w:color w:val="262626"/>
                <w:sz w:val="28"/>
                <w:szCs w:val="46"/>
              </w:rPr>
              <w:t>A similar bill was vetoed by the same Governor</w:t>
            </w:r>
            <w:proofErr w:type="gramEnd"/>
            <w:r w:rsidRPr="00C450BE">
              <w:rPr>
                <w:rFonts w:ascii="Times" w:hAnsi="Times" w:cs="Times"/>
                <w:color w:val="262626"/>
                <w:sz w:val="28"/>
                <w:szCs w:val="46"/>
              </w:rPr>
              <w:t xml:space="preserve"> several years ago.) </w:t>
            </w:r>
            <w:hyperlink r:id="rId27" w:history="1">
              <w:r w:rsidRPr="00C450BE">
                <w:rPr>
                  <w:rFonts w:ascii="Times" w:hAnsi="Times" w:cs="Times"/>
                  <w:color w:val="386EFF"/>
                  <w:sz w:val="28"/>
                  <w:szCs w:val="46"/>
                </w:rPr>
                <w:t>AB 1871</w:t>
              </w:r>
            </w:hyperlink>
            <w:r w:rsidRPr="00C450BE">
              <w:rPr>
                <w:rFonts w:ascii="Times" w:hAnsi="Times" w:cs="Times"/>
                <w:color w:val="262626"/>
                <w:sz w:val="28"/>
                <w:szCs w:val="46"/>
              </w:rPr>
              <w:t>. </w:t>
            </w:r>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[Learn more about </w:t>
            </w:r>
            <w:hyperlink r:id="rId28" w:history="1">
              <w:r w:rsidRPr="00C450BE">
                <w:rPr>
                  <w:rFonts w:ascii="Times" w:hAnsi="Times" w:cs="Times"/>
                  <w:color w:val="386EFF"/>
                  <w:sz w:val="28"/>
                  <w:szCs w:val="46"/>
                </w:rPr>
                <w:t>food in charter schools</w:t>
              </w:r>
            </w:hyperlink>
            <w:r w:rsidRPr="00C450BE">
              <w:rPr>
                <w:rFonts w:ascii="Times" w:hAnsi="Times" w:cs="Times"/>
                <w:color w:val="262626"/>
                <w:sz w:val="28"/>
                <w:szCs w:val="46"/>
              </w:rPr>
              <w:t xml:space="preserve"> on </w:t>
            </w:r>
            <w:hyperlink r:id="rId29" w:history="1">
              <w:r w:rsidRPr="00C450BE">
                <w:rPr>
                  <w:rFonts w:ascii="Times" w:hAnsi="Times" w:cs="Times"/>
                  <w:color w:val="386EFF"/>
                  <w:sz w:val="28"/>
                  <w:szCs w:val="46"/>
                  <w:u w:val="single" w:color="386EFF"/>
                </w:rPr>
                <w:t>Ed100.org</w:t>
              </w:r>
            </w:hyperlink>
            <w:r w:rsidRPr="00C450BE">
              <w:rPr>
                <w:rFonts w:ascii="Times" w:hAnsi="Times" w:cs="Times"/>
                <w:color w:val="262626"/>
                <w:sz w:val="28"/>
                <w:szCs w:val="46"/>
              </w:rPr>
              <w:t>]</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Pregnant and Parenting Pupils</w:t>
            </w: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Pregnant and parenting students got expanded rights, regardless of sex, to eight weeks of parental leave. </w:t>
            </w:r>
            <w:hyperlink r:id="rId30" w:history="1">
              <w:r w:rsidRPr="00C450BE">
                <w:rPr>
                  <w:rFonts w:ascii="Times" w:hAnsi="Times" w:cs="Times"/>
                  <w:color w:val="386EFF"/>
                  <w:sz w:val="28"/>
                  <w:szCs w:val="46"/>
                </w:rPr>
                <w:t>AB 2289</w:t>
              </w:r>
            </w:hyperlink>
            <w:r w:rsidRPr="00C450BE">
              <w:rPr>
                <w:rFonts w:ascii="Times" w:hAnsi="Times" w:cs="Times"/>
                <w:color w:val="262626"/>
                <w:sz w:val="28"/>
                <w:szCs w:val="46"/>
              </w:rPr>
              <w:t>.</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Times" w:hAnsi="Times" w:cs="Times"/>
                <w:sz w:val="28"/>
                <w:szCs w:val="46"/>
              </w:rPr>
            </w:pPr>
            <w:r w:rsidRPr="00C450BE">
              <w:rPr>
                <w:rFonts w:ascii="Times" w:hAnsi="Times" w:cs="Times"/>
                <w:color w:val="262626"/>
                <w:sz w:val="28"/>
                <w:szCs w:val="46"/>
              </w:rPr>
              <w:t>Pupil Mental </w:t>
            </w:r>
          </w:p>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Health Services</w:t>
            </w: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Notices to pupils and parents/guardians on how to access pupil mental health services on campus or in the community are required at least twice a year. </w:t>
            </w:r>
            <w:hyperlink r:id="rId31" w:history="1">
              <w:r w:rsidRPr="00C450BE">
                <w:rPr>
                  <w:rFonts w:ascii="Times" w:hAnsi="Times" w:cs="Times"/>
                  <w:color w:val="386EFF"/>
                  <w:sz w:val="28"/>
                  <w:szCs w:val="46"/>
                </w:rPr>
                <w:t>AB 2022</w:t>
              </w:r>
            </w:hyperlink>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Lead Testing</w:t>
            </w: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 xml:space="preserve">There are new requirements for </w:t>
            </w:r>
            <w:proofErr w:type="gramStart"/>
            <w:r w:rsidRPr="00C450BE">
              <w:rPr>
                <w:rFonts w:ascii="Times" w:hAnsi="Times" w:cs="Times"/>
                <w:color w:val="262626"/>
                <w:sz w:val="28"/>
                <w:szCs w:val="46"/>
              </w:rPr>
              <w:t>child care</w:t>
            </w:r>
            <w:proofErr w:type="gramEnd"/>
            <w:r w:rsidRPr="00C450BE">
              <w:rPr>
                <w:rFonts w:ascii="Times" w:hAnsi="Times" w:cs="Times"/>
                <w:color w:val="262626"/>
                <w:sz w:val="28"/>
                <w:szCs w:val="46"/>
              </w:rPr>
              <w:t xml:space="preserve"> centers to </w:t>
            </w:r>
            <w:hyperlink r:id="rId32" w:history="1">
              <w:r w:rsidRPr="00C450BE">
                <w:rPr>
                  <w:rFonts w:ascii="Times" w:hAnsi="Times" w:cs="Times"/>
                  <w:color w:val="386EFF"/>
                  <w:sz w:val="28"/>
                  <w:szCs w:val="46"/>
                </w:rPr>
                <w:t>test drinking water</w:t>
              </w:r>
            </w:hyperlink>
            <w:r w:rsidRPr="00C450BE">
              <w:rPr>
                <w:rFonts w:ascii="Times" w:hAnsi="Times" w:cs="Times"/>
                <w:color w:val="262626"/>
                <w:sz w:val="28"/>
                <w:szCs w:val="46"/>
              </w:rPr>
              <w:t> for lead. </w:t>
            </w:r>
            <w:hyperlink r:id="rId33" w:history="1">
              <w:r w:rsidRPr="00C450BE">
                <w:rPr>
                  <w:rFonts w:ascii="Times" w:hAnsi="Times" w:cs="Times"/>
                  <w:color w:val="386EFF"/>
                  <w:sz w:val="28"/>
                  <w:szCs w:val="46"/>
                </w:rPr>
                <w:t>AB 2370</w:t>
              </w:r>
            </w:hyperlink>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School Safety Plans</w:t>
            </w: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Schools have to develop a comprehensive school safety plan and train staff, including procedures for tactical responses to criminal events such as active shooter incidents. </w:t>
            </w:r>
            <w:hyperlink r:id="rId34" w:history="1">
              <w:r w:rsidRPr="00C450BE">
                <w:rPr>
                  <w:rFonts w:ascii="Times" w:hAnsi="Times" w:cs="Times"/>
                  <w:color w:val="386EFF"/>
                  <w:sz w:val="28"/>
                  <w:szCs w:val="46"/>
                </w:rPr>
                <w:t>AB 1747</w:t>
              </w:r>
            </w:hyperlink>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Cyber Bullying</w:t>
            </w: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 xml:space="preserve">New policy requires schools to adopt procedures to prevent bullying, including </w:t>
            </w:r>
            <w:proofErr w:type="spellStart"/>
            <w:r w:rsidRPr="00C450BE">
              <w:rPr>
                <w:rFonts w:ascii="Times" w:hAnsi="Times" w:cs="Times"/>
                <w:color w:val="262626"/>
                <w:sz w:val="28"/>
                <w:szCs w:val="46"/>
              </w:rPr>
              <w:t>cyberbullying</w:t>
            </w:r>
            <w:proofErr w:type="spellEnd"/>
            <w:r w:rsidRPr="00C450BE">
              <w:rPr>
                <w:rFonts w:ascii="Times" w:hAnsi="Times" w:cs="Times"/>
                <w:color w:val="262626"/>
                <w:sz w:val="28"/>
                <w:szCs w:val="46"/>
              </w:rPr>
              <w:t>. </w:t>
            </w:r>
            <w:hyperlink r:id="rId35" w:history="1">
              <w:r w:rsidRPr="00C450BE">
                <w:rPr>
                  <w:rFonts w:ascii="Times" w:hAnsi="Times" w:cs="Times"/>
                  <w:color w:val="386EFF"/>
                  <w:sz w:val="28"/>
                  <w:szCs w:val="46"/>
                </w:rPr>
                <w:t>AB 2291</w:t>
              </w:r>
            </w:hyperlink>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[Learn more about </w:t>
            </w:r>
            <w:hyperlink r:id="rId36" w:history="1">
              <w:r w:rsidRPr="00C450BE">
                <w:rPr>
                  <w:rFonts w:ascii="Times" w:hAnsi="Times" w:cs="Times"/>
                  <w:color w:val="386EFF"/>
                  <w:sz w:val="28"/>
                  <w:szCs w:val="46"/>
                </w:rPr>
                <w:t>school climate and discipline</w:t>
              </w:r>
            </w:hyperlink>
            <w:r w:rsidRPr="00C450BE">
              <w:rPr>
                <w:rFonts w:ascii="Times" w:hAnsi="Times" w:cs="Times"/>
                <w:color w:val="262626"/>
                <w:sz w:val="28"/>
                <w:szCs w:val="46"/>
              </w:rPr>
              <w:t xml:space="preserve"> on </w:t>
            </w:r>
            <w:hyperlink r:id="rId37" w:history="1">
              <w:r w:rsidRPr="00C450BE">
                <w:rPr>
                  <w:rFonts w:ascii="Times" w:hAnsi="Times" w:cs="Times"/>
                  <w:color w:val="386EFF"/>
                  <w:sz w:val="28"/>
                  <w:szCs w:val="46"/>
                  <w:u w:val="single" w:color="386EFF"/>
                </w:rPr>
                <w:t>Ed100.org</w:t>
              </w:r>
            </w:hyperlink>
            <w:r w:rsidRPr="00C450BE">
              <w:rPr>
                <w:rFonts w:ascii="Times" w:hAnsi="Times" w:cs="Times"/>
                <w:color w:val="262626"/>
                <w:sz w:val="28"/>
                <w:szCs w:val="46"/>
              </w:rPr>
              <w:t>]</w:t>
            </w:r>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Door Locks</w:t>
            </w: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 xml:space="preserve">Facility modernization projects must provide for schools to include locks that allow classrooms doors to </w:t>
            </w:r>
            <w:proofErr w:type="spellStart"/>
            <w:r w:rsidRPr="00C450BE">
              <w:rPr>
                <w:rFonts w:ascii="Times" w:hAnsi="Times" w:cs="Times"/>
                <w:color w:val="262626"/>
                <w:sz w:val="28"/>
                <w:szCs w:val="46"/>
              </w:rPr>
              <w:t>to</w:t>
            </w:r>
            <w:proofErr w:type="spellEnd"/>
            <w:r w:rsidRPr="00C450BE">
              <w:rPr>
                <w:rFonts w:ascii="Times" w:hAnsi="Times" w:cs="Times"/>
                <w:color w:val="262626"/>
                <w:sz w:val="28"/>
                <w:szCs w:val="46"/>
              </w:rPr>
              <w:t xml:space="preserve"> be locked from the inside. </w:t>
            </w:r>
            <w:hyperlink r:id="rId38" w:history="1">
              <w:r w:rsidRPr="00C450BE">
                <w:rPr>
                  <w:rFonts w:ascii="Times" w:hAnsi="Times" w:cs="Times"/>
                  <w:color w:val="386EFF"/>
                  <w:sz w:val="28"/>
                  <w:szCs w:val="46"/>
                </w:rPr>
                <w:t>AB 3205</w:t>
              </w:r>
            </w:hyperlink>
          </w:p>
        </w:tc>
      </w:tr>
      <w:tr w:rsidR="00C450BE" w:rsidRPr="00C450BE">
        <w:tblPrEx>
          <w:tblBorders>
            <w:top w:val="none" w:sz="0" w:space="0" w:color="auto"/>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Defibrillators </w:t>
            </w: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School districts and charters that participate in interscholastic athletics must have at least one automatic external defibrillator, or AED, at each school site. </w:t>
            </w:r>
            <w:hyperlink r:id="rId39" w:history="1">
              <w:r w:rsidRPr="00C450BE">
                <w:rPr>
                  <w:rFonts w:ascii="Times" w:hAnsi="Times" w:cs="Times"/>
                  <w:color w:val="386EFF"/>
                  <w:sz w:val="28"/>
                  <w:szCs w:val="46"/>
                </w:rPr>
                <w:t>AB 2009</w:t>
              </w:r>
            </w:hyperlink>
          </w:p>
        </w:tc>
      </w:tr>
      <w:tr w:rsidR="00C450BE" w:rsidRPr="00C450BE">
        <w:tblPrEx>
          <w:tblBorders>
            <w:top w:val="none" w:sz="0" w:space="0" w:color="auto"/>
            <w:bottom w:val="single" w:sz="8" w:space="0" w:color="D5D5D5"/>
          </w:tblBorders>
          <w:tblCellMar>
            <w:top w:w="0" w:type="dxa"/>
            <w:bottom w:w="0" w:type="dxa"/>
          </w:tblCellMar>
        </w:tblPrEx>
        <w:tc>
          <w:tcPr>
            <w:tcW w:w="2940" w:type="dxa"/>
            <w:tcMar>
              <w:top w:w="175" w:type="nil"/>
              <w:left w:w="157" w:type="nil"/>
              <w:bottom w:w="157" w:type="nil"/>
              <w:right w:w="175" w:type="nil"/>
            </w:tcMar>
            <w:vAlign w:val="center"/>
          </w:tcPr>
          <w:p w:rsidR="00C450BE" w:rsidRDefault="00C450BE" w:rsidP="00C450BE">
            <w:pPr>
              <w:widowControl w:val="0"/>
              <w:autoSpaceDE w:val="0"/>
              <w:autoSpaceDN w:val="0"/>
              <w:adjustRightInd w:val="0"/>
              <w:rPr>
                <w:rFonts w:ascii="Times" w:hAnsi="Times" w:cs="Times"/>
                <w:color w:val="262626"/>
                <w:sz w:val="28"/>
                <w:szCs w:val="46"/>
              </w:rPr>
            </w:pPr>
            <w:r w:rsidRPr="00C450BE">
              <w:rPr>
                <w:rFonts w:ascii="Times" w:hAnsi="Times" w:cs="Times"/>
                <w:color w:val="262626"/>
                <w:sz w:val="28"/>
                <w:szCs w:val="46"/>
              </w:rPr>
              <w:t>Sex Education</w:t>
            </w:r>
          </w:p>
          <w:p w:rsidR="00C450BE" w:rsidRDefault="00C450BE" w:rsidP="00C450BE">
            <w:pPr>
              <w:widowControl w:val="0"/>
              <w:autoSpaceDE w:val="0"/>
              <w:autoSpaceDN w:val="0"/>
              <w:adjustRightInd w:val="0"/>
              <w:rPr>
                <w:rFonts w:ascii="Times" w:hAnsi="Times" w:cs="Times"/>
                <w:color w:val="262626"/>
                <w:sz w:val="28"/>
                <w:szCs w:val="46"/>
              </w:rPr>
            </w:pPr>
          </w:p>
          <w:p w:rsidR="00C450BE" w:rsidRDefault="00C450BE" w:rsidP="00C450BE">
            <w:pPr>
              <w:widowControl w:val="0"/>
              <w:autoSpaceDE w:val="0"/>
              <w:autoSpaceDN w:val="0"/>
              <w:adjustRightInd w:val="0"/>
              <w:rPr>
                <w:rFonts w:ascii="Times" w:hAnsi="Times" w:cs="Times"/>
                <w:color w:val="262626"/>
                <w:sz w:val="28"/>
                <w:szCs w:val="46"/>
              </w:rPr>
            </w:pPr>
          </w:p>
          <w:p w:rsidR="00C450BE" w:rsidRPr="00C450BE" w:rsidRDefault="00C450BE" w:rsidP="00C450BE">
            <w:pPr>
              <w:widowControl w:val="0"/>
              <w:autoSpaceDE w:val="0"/>
              <w:autoSpaceDN w:val="0"/>
              <w:adjustRightInd w:val="0"/>
              <w:rPr>
                <w:rFonts w:ascii="Georgia" w:hAnsi="Georgia" w:cs="Georgia"/>
                <w:color w:val="262626"/>
                <w:sz w:val="28"/>
                <w:szCs w:val="32"/>
              </w:rPr>
            </w:pPr>
          </w:p>
        </w:tc>
        <w:tc>
          <w:tcPr>
            <w:tcW w:w="13300" w:type="dxa"/>
            <w:tcMar>
              <w:top w:w="175" w:type="nil"/>
              <w:left w:w="157" w:type="nil"/>
              <w:bottom w:w="157" w:type="nil"/>
              <w:right w:w="175" w:type="nil"/>
            </w:tcMar>
            <w:vAlign w:val="center"/>
          </w:tcPr>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Charter schools now have to ensure that all pupils in grades 7 to 12 receive comprehensive sexual health education and HIV prevention education. </w:t>
            </w:r>
            <w:hyperlink r:id="rId40" w:history="1">
              <w:r w:rsidRPr="00C450BE">
                <w:rPr>
                  <w:rFonts w:ascii="Times" w:hAnsi="Times" w:cs="Times"/>
                  <w:color w:val="386EFF"/>
                  <w:sz w:val="28"/>
                  <w:szCs w:val="46"/>
                </w:rPr>
                <w:t>AB 2601</w:t>
              </w:r>
            </w:hyperlink>
          </w:p>
          <w:p w:rsidR="00C450BE" w:rsidRPr="00C450BE" w:rsidRDefault="00C450BE" w:rsidP="00C450BE">
            <w:pPr>
              <w:widowControl w:val="0"/>
              <w:autoSpaceDE w:val="0"/>
              <w:autoSpaceDN w:val="0"/>
              <w:adjustRightInd w:val="0"/>
              <w:rPr>
                <w:rFonts w:ascii="Georgia" w:hAnsi="Georgia" w:cs="Georgia"/>
                <w:color w:val="262626"/>
                <w:sz w:val="28"/>
                <w:szCs w:val="32"/>
              </w:rPr>
            </w:pPr>
            <w:r w:rsidRPr="00C450BE">
              <w:rPr>
                <w:rFonts w:ascii="Times" w:hAnsi="Times" w:cs="Times"/>
                <w:color w:val="262626"/>
                <w:sz w:val="28"/>
                <w:szCs w:val="46"/>
              </w:rPr>
              <w:t>[Learn more about </w:t>
            </w:r>
            <w:hyperlink r:id="rId41" w:history="1">
              <w:r w:rsidRPr="00C450BE">
                <w:rPr>
                  <w:rFonts w:ascii="Times" w:hAnsi="Times" w:cs="Times"/>
                  <w:color w:val="386EFF"/>
                  <w:sz w:val="28"/>
                  <w:szCs w:val="46"/>
                </w:rPr>
                <w:t xml:space="preserve">sex </w:t>
              </w:r>
              <w:proofErr w:type="spellStart"/>
              <w:r w:rsidRPr="00C450BE">
                <w:rPr>
                  <w:rFonts w:ascii="Times" w:hAnsi="Times" w:cs="Times"/>
                  <w:color w:val="386EFF"/>
                  <w:sz w:val="28"/>
                  <w:szCs w:val="46"/>
                </w:rPr>
                <w:t>education</w:t>
              </w:r>
            </w:hyperlink>
            <w:r w:rsidRPr="00C450BE">
              <w:rPr>
                <w:rFonts w:ascii="Times" w:hAnsi="Times" w:cs="Times"/>
                <w:color w:val="262626"/>
                <w:sz w:val="28"/>
                <w:szCs w:val="46"/>
              </w:rPr>
              <w:t>on</w:t>
            </w:r>
            <w:proofErr w:type="spellEnd"/>
            <w:r w:rsidRPr="00C450BE">
              <w:rPr>
                <w:rFonts w:ascii="Times" w:hAnsi="Times" w:cs="Times"/>
                <w:color w:val="262626"/>
                <w:sz w:val="28"/>
                <w:szCs w:val="46"/>
              </w:rPr>
              <w:t xml:space="preserve"> </w:t>
            </w:r>
            <w:hyperlink r:id="rId42" w:history="1">
              <w:r w:rsidRPr="00C450BE">
                <w:rPr>
                  <w:rFonts w:ascii="Times" w:hAnsi="Times" w:cs="Times"/>
                  <w:color w:val="386EFF"/>
                  <w:sz w:val="28"/>
                  <w:szCs w:val="46"/>
                  <w:u w:val="single" w:color="386EFF"/>
                </w:rPr>
                <w:t>Ed100.org</w:t>
              </w:r>
            </w:hyperlink>
            <w:r w:rsidRPr="00C450BE">
              <w:rPr>
                <w:rFonts w:ascii="Times" w:hAnsi="Times" w:cs="Times"/>
                <w:color w:val="262626"/>
                <w:sz w:val="28"/>
                <w:szCs w:val="46"/>
              </w:rPr>
              <w:t>]</w:t>
            </w:r>
          </w:p>
        </w:tc>
      </w:tr>
    </w:tbl>
    <w:p w:rsidR="00C450BE" w:rsidRPr="00C450BE" w:rsidRDefault="00C450BE" w:rsidP="00C450BE">
      <w:pPr>
        <w:widowControl w:val="0"/>
        <w:autoSpaceDE w:val="0"/>
        <w:autoSpaceDN w:val="0"/>
        <w:adjustRightInd w:val="0"/>
        <w:rPr>
          <w:rFonts w:ascii="Helvetica" w:hAnsi="Helvetica" w:cs="Helvetica"/>
          <w:sz w:val="28"/>
          <w:szCs w:val="28"/>
        </w:rPr>
      </w:pPr>
    </w:p>
    <w:p w:rsidR="00C450BE" w:rsidRPr="00C450BE" w:rsidRDefault="00C450BE" w:rsidP="00C450BE">
      <w:pPr>
        <w:widowControl w:val="0"/>
        <w:autoSpaceDE w:val="0"/>
        <w:autoSpaceDN w:val="0"/>
        <w:adjustRightInd w:val="0"/>
        <w:rPr>
          <w:rFonts w:ascii="Helvetica" w:hAnsi="Helvetica" w:cs="Helvetica"/>
          <w:i/>
          <w:iCs/>
          <w:sz w:val="28"/>
          <w:szCs w:val="28"/>
        </w:rPr>
      </w:pPr>
      <w:r w:rsidRPr="00C450BE">
        <w:rPr>
          <w:rFonts w:ascii="Helvetica" w:hAnsi="Helvetica" w:cs="Helvetica"/>
          <w:i/>
          <w:iCs/>
          <w:sz w:val="34"/>
          <w:szCs w:val="34"/>
        </w:rPr>
        <w:t>Anne Vida </w:t>
      </w:r>
    </w:p>
    <w:p w:rsidR="00C450BE" w:rsidRDefault="00C450BE" w:rsidP="00C450BE">
      <w:r w:rsidRPr="00C450BE">
        <w:rPr>
          <w:rFonts w:ascii="Helvetica" w:hAnsi="Helvetica" w:cs="Helvetica"/>
          <w:i/>
          <w:iCs/>
          <w:sz w:val="28"/>
          <w:szCs w:val="28"/>
        </w:rPr>
        <w:t>Text &amp;Cell: 562-500-4534</w:t>
      </w:r>
    </w:p>
    <w:sectPr w:rsidR="00C450BE" w:rsidSect="00C450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50BE"/>
    <w:rsid w:val="001A192D"/>
    <w:rsid w:val="00C450BE"/>
  </w:rsids>
  <m:mathPr>
    <m:mathFont m:val="Berkele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d100.org/" TargetMode="External"/><Relationship Id="rId21" Type="http://schemas.openxmlformats.org/officeDocument/2006/relationships/hyperlink" Target="http://leginfo.legislature.ca.gov/faces/billNavClient.xhtml?bill_id=201720180AB1861" TargetMode="External"/><Relationship Id="rId22" Type="http://schemas.openxmlformats.org/officeDocument/2006/relationships/hyperlink" Target="http://leginfo.legislature.ca.gov/faces/billNavClient.xhtml?bill_id=201720180SB1104" TargetMode="External"/><Relationship Id="rId23" Type="http://schemas.openxmlformats.org/officeDocument/2006/relationships/hyperlink" Target="http://leginfo.legislature.ca.gov/faces/billNavClient.xhtml?bill_id=201720180AB2657" TargetMode="External"/><Relationship Id="rId24" Type="http://schemas.openxmlformats.org/officeDocument/2006/relationships/hyperlink" Target="https://ed100.org/lessons/discipline" TargetMode="External"/><Relationship Id="rId25" Type="http://schemas.openxmlformats.org/officeDocument/2006/relationships/hyperlink" Target="http://ed100.org/" TargetMode="External"/><Relationship Id="rId26" Type="http://schemas.openxmlformats.org/officeDocument/2006/relationships/hyperlink" Target="http://leginfo.legislature.ca.gov/faces/billNavClient.xhtml?bill_id=201720180AB3043" TargetMode="External"/><Relationship Id="rId27" Type="http://schemas.openxmlformats.org/officeDocument/2006/relationships/hyperlink" Target="http://leginfo.legislature.ca.gov/faces/billNavClient.xhtml?bill_id=201720180AB1871" TargetMode="External"/><Relationship Id="rId28" Type="http://schemas.openxmlformats.org/officeDocument/2006/relationships/hyperlink" Target="https://ed100.org/blog/charter-food" TargetMode="External"/><Relationship Id="rId29" Type="http://schemas.openxmlformats.org/officeDocument/2006/relationships/hyperlink" Target="http://ed100.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d100.org/lessons/english" TargetMode="External"/><Relationship Id="rId5" Type="http://schemas.openxmlformats.org/officeDocument/2006/relationships/hyperlink" Target="http://leginfo.legislature.ca.gov/faces/billAnalysisClient.xhtml?bill_id=201720180AB2735" TargetMode="External"/><Relationship Id="rId30" Type="http://schemas.openxmlformats.org/officeDocument/2006/relationships/hyperlink" Target="http://leginfo.legislature.ca.gov/faces/billNavClient.xhtml?bill_id=201720180AB2289" TargetMode="External"/><Relationship Id="rId31" Type="http://schemas.openxmlformats.org/officeDocument/2006/relationships/hyperlink" Target="http://leginfo.legislature.ca.gov/faces/billTextClient.xhtml?bill_id=201720180AB2022" TargetMode="External"/><Relationship Id="rId32" Type="http://schemas.openxmlformats.org/officeDocument/2006/relationships/hyperlink" Target="https://edsource.org/2018/new-california-law-requires-day-care-centers-to-test-for-lead-in-water/603156" TargetMode="External"/><Relationship Id="rId9" Type="http://schemas.openxmlformats.org/officeDocument/2006/relationships/hyperlink" Target="http://ed100.org/" TargetMode="External"/><Relationship Id="rId6" Type="http://schemas.openxmlformats.org/officeDocument/2006/relationships/hyperlink" Target="http://leginfo.legislature.ca.gov/faces/billTextClient.xhtml?bill_id=201720180AB2878" TargetMode="External"/><Relationship Id="rId7" Type="http://schemas.openxmlformats.org/officeDocument/2006/relationships/hyperlink" Target="https://ed100.org/lessons/parents" TargetMode="External"/><Relationship Id="rId8" Type="http://schemas.openxmlformats.org/officeDocument/2006/relationships/hyperlink" Target="https://ed100.org/lessons/local" TargetMode="External"/><Relationship Id="rId33" Type="http://schemas.openxmlformats.org/officeDocument/2006/relationships/hyperlink" Target="http://leginfo.legislature.ca.gov/faces/billTextClient.xhtml?bill_id=201720180AB2370" TargetMode="External"/><Relationship Id="rId34" Type="http://schemas.openxmlformats.org/officeDocument/2006/relationships/hyperlink" Target="http://leginfo.legislature.ca.gov/faces/billTextClient.xhtml?bill_id=201720180AB1747" TargetMode="External"/><Relationship Id="rId35" Type="http://schemas.openxmlformats.org/officeDocument/2006/relationships/hyperlink" Target="http://leginfo.legislature.ca.gov/faces/billTextClient.xhtml?bill_id=201720180AB2291" TargetMode="External"/><Relationship Id="rId36" Type="http://schemas.openxmlformats.org/officeDocument/2006/relationships/hyperlink" Target="https://ed100.org/lessons/discipline" TargetMode="External"/><Relationship Id="rId10" Type="http://schemas.openxmlformats.org/officeDocument/2006/relationships/hyperlink" Target="https://leginfo.legislature.ca.gov/faces/billTextClient.xhtml?bill_id=201720180AB406" TargetMode="External"/><Relationship Id="rId11" Type="http://schemas.openxmlformats.org/officeDocument/2006/relationships/hyperlink" Target="https://ed100.org/lessons/charterschools" TargetMode="External"/><Relationship Id="rId12" Type="http://schemas.openxmlformats.org/officeDocument/2006/relationships/hyperlink" Target="http://leginfo.legislature.ca.gov/faces/billAnalysisClient.xhtml?bill_id=201720180AB2514" TargetMode="External"/><Relationship Id="rId13" Type="http://schemas.openxmlformats.org/officeDocument/2006/relationships/hyperlink" Target="https://ed100.org/lessons/languages" TargetMode="External"/><Relationship Id="rId14" Type="http://schemas.openxmlformats.org/officeDocument/2006/relationships/hyperlink" Target="http://leginfo.legislature.ca.gov/faces/billNavClient.xhtml?bill_id=201720180AB1974" TargetMode="External"/><Relationship Id="rId15" Type="http://schemas.openxmlformats.org/officeDocument/2006/relationships/hyperlink" Target="http://leginfo.legislature.ca.gov/faces/billHistoryClient.xhtml?bill_id=201720180AB3022" TargetMode="External"/><Relationship Id="rId16" Type="http://schemas.openxmlformats.org/officeDocument/2006/relationships/hyperlink" Target="https://ed100.org/lessons/health" TargetMode="External"/><Relationship Id="rId17" Type="http://schemas.openxmlformats.org/officeDocument/2006/relationships/hyperlink" Target="http://leginfo.legislature.ca.gov/faces/billNavClient.xhtml?bill_id=201720180SB972" TargetMode="External"/><Relationship Id="rId18" Type="http://schemas.openxmlformats.org/officeDocument/2006/relationships/hyperlink" Target="http://leginfo.legislature.ca.gov/faces/billNavClient.xhtml?bill_id=201720180AB2639" TargetMode="External"/><Relationship Id="rId19" Type="http://schemas.openxmlformats.org/officeDocument/2006/relationships/hyperlink" Target="https://ed100.org/blog/suicide-prevention" TargetMode="External"/><Relationship Id="rId37" Type="http://schemas.openxmlformats.org/officeDocument/2006/relationships/hyperlink" Target="http://ed100.org/" TargetMode="External"/><Relationship Id="rId38" Type="http://schemas.openxmlformats.org/officeDocument/2006/relationships/hyperlink" Target="http://leginfo.legislature.ca.gov/faces/billTextClient.xhtml?bill_id=201720180AB3205" TargetMode="External"/><Relationship Id="rId39" Type="http://schemas.openxmlformats.org/officeDocument/2006/relationships/hyperlink" Target="http://leginfo.legislature.ca.gov/faces/billNavClient.xhtml?bill_id=201720180AB2009" TargetMode="External"/><Relationship Id="rId40" Type="http://schemas.openxmlformats.org/officeDocument/2006/relationships/hyperlink" Target="http://leginfo.legislature.ca.gov/faces/billNavClient.xhtml?bill_id=201720180AB2601" TargetMode="External"/><Relationship Id="rId41" Type="http://schemas.openxmlformats.org/officeDocument/2006/relationships/hyperlink" Target="https://ed100.org/blog/sex-education" TargetMode="External"/><Relationship Id="rId42" Type="http://schemas.openxmlformats.org/officeDocument/2006/relationships/hyperlink" Target="http://ed100.org/"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Albers</dc:creator>
  <cp:keywords/>
  <cp:lastModifiedBy>Karen Albers</cp:lastModifiedBy>
  <cp:revision>1</cp:revision>
  <dcterms:created xsi:type="dcterms:W3CDTF">2018-10-30T18:02:00Z</dcterms:created>
  <dcterms:modified xsi:type="dcterms:W3CDTF">2018-10-30T18:37:00Z</dcterms:modified>
</cp:coreProperties>
</file>